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706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26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ХМАО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-Югра, г. Сургут, ул. Гагарина,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305,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ст.15.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в отношении: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Александровича, </w:t>
      </w:r>
      <w:r>
        <w:rPr>
          <w:rStyle w:val="cat-UserDefinedgrp-30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директором </w:t>
      </w:r>
      <w:r>
        <w:rPr>
          <w:rStyle w:val="cat-UserDefinedgrp-29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налогового учета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(финансовую)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.04.2024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>. 4 п. 1 ст. 23 НК РФ н</w:t>
      </w:r>
      <w:r>
        <w:rPr>
          <w:rFonts w:ascii="Times New Roman" w:eastAsia="Times New Roman" w:hAnsi="Times New Roman" w:cs="Times New Roman"/>
          <w:sz w:val="28"/>
          <w:szCs w:val="28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материалы дела представлены следующие доказательства: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25597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07.03.2024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уведомления о составлении протокола об административном правонарушении; списка почтовых отправлений;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информационного письма о необходимости своевременного 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>, выписка ЕГРЮЛ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ст.2.4 КоАП РФ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организаций несут административную ответственность как должностные лица.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</w:t>
      </w:r>
      <w:r>
        <w:rPr>
          <w:rFonts w:ascii="Times New Roman" w:eastAsia="Times New Roman" w:hAnsi="Times New Roman" w:cs="Times New Roman"/>
          <w:sz w:val="28"/>
          <w:szCs w:val="28"/>
        </w:rPr>
        <w:t>его отношение к содеянному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 смягчающие и отягчающие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Товкач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административного правонарушения, предусмотренного ч.1 ст. 15.6 КоАП РФ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подвергнуть наказанию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300 (трехсот) рублей.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я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марта 2025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706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КБК 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011601153010006140,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0412365400665007062515177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</w:t>
      </w:r>
      <w:r>
        <w:rPr>
          <w:rFonts w:ascii="Times New Roman" w:eastAsia="Times New Roman" w:hAnsi="Times New Roman" w:cs="Times New Roman"/>
          <w:sz w:val="20"/>
          <w:szCs w:val="20"/>
        </w:rPr>
        <w:t>60 дней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jc w:val="both"/>
        <w:rPr>
          <w:sz w:val="20"/>
          <w:szCs w:val="20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29rplc-16">
    <w:name w:val="cat-UserDefined grp-29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